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810" w:lineRule="atLeast"/>
        <w:ind w:left="0" w:right="0" w:firstLine="0"/>
        <w:jc w:val="center"/>
        <w:rPr>
          <w:rFonts w:ascii="微软雅黑" w:hAnsi="微软雅黑" w:eastAsia="微软雅黑" w:cs="微软雅黑"/>
          <w:b/>
          <w:bCs/>
          <w:i w:val="0"/>
          <w:iCs w:val="0"/>
          <w:caps w:val="0"/>
          <w:color w:val="333333"/>
          <w:spacing w:val="0"/>
          <w:sz w:val="27"/>
          <w:szCs w:val="27"/>
        </w:rPr>
      </w:pPr>
      <w:bookmarkStart w:id="0" w:name="_GoBack"/>
      <w:r>
        <w:rPr>
          <w:rFonts w:hint="eastAsia" w:ascii="黑体" w:hAnsi="宋体" w:eastAsia="黑体"/>
          <w:kern w:val="0"/>
          <w:sz w:val="36"/>
          <w:szCs w:val="36"/>
          <w:lang w:val="zh-CN"/>
        </w:rPr>
        <w:t>20</w:t>
      </w:r>
      <w:r>
        <w:rPr>
          <w:rFonts w:hint="eastAsia" w:ascii="黑体" w:hAnsi="宋体" w:eastAsia="黑体"/>
          <w:kern w:val="0"/>
          <w:sz w:val="36"/>
          <w:szCs w:val="36"/>
          <w:lang w:val="en-US" w:eastAsia="zh-CN"/>
        </w:rPr>
        <w:t>23</w:t>
      </w:r>
      <w:r>
        <w:rPr>
          <w:rFonts w:hint="eastAsia" w:ascii="黑体" w:hAnsi="宋体" w:eastAsia="黑体"/>
          <w:kern w:val="0"/>
          <w:sz w:val="36"/>
          <w:szCs w:val="36"/>
          <w:lang w:val="zh-CN"/>
        </w:rPr>
        <w:t>年专升本</w:t>
      </w:r>
      <w:r>
        <w:rPr>
          <w:rFonts w:hint="eastAsia" w:ascii="黑体" w:hAnsi="宋体" w:eastAsia="黑体"/>
          <w:kern w:val="0"/>
          <w:sz w:val="36"/>
          <w:szCs w:val="36"/>
          <w:lang w:val="en-US" w:eastAsia="zh-CN"/>
        </w:rPr>
        <w:t>足球</w:t>
      </w:r>
      <w:r>
        <w:rPr>
          <w:rFonts w:hint="eastAsia" w:ascii="黑体" w:hAnsi="宋体" w:eastAsia="黑体"/>
          <w:kern w:val="0"/>
          <w:sz w:val="36"/>
          <w:szCs w:val="36"/>
          <w:lang w:val="zh-CN"/>
        </w:rPr>
        <w:t>测试细则及评分标准</w:t>
      </w:r>
    </w:p>
    <w:bookmarkEnd w:id="0"/>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一 考试内容与分值</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（一）颠球 （20 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（二）定位球传准（40 分，达标成绩 30 分，技术评定为 10 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（三）20 米运球绕杆射门（40 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（四）守门员加试（40 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二 考试方法与评分细则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（一）颠球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1. 考试细则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（1）开始时，考生需用单脚将球挑起，用脚的任意部位随意连续颠球，主考者数颠球个数。若以单脚同一部位连续颠球 5 个以上或大腿、肩、头等其他部位颠球，均不计个数，只能视为调整球。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开始颠球未颠满 3 个（含 3 个），可重测一次。颠满 3 个以上，如果球落地，则为一次颠球结束。</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（2）每人有两次考试机会，取最佳一次成绩。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2. 评分标准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考生按要求连续颠球 65 个，得满分。评分标准详见表 35。</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（二）定位球传准</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Fonts w:hint="eastAsia" w:ascii="微软雅黑" w:hAnsi="微软雅黑" w:eastAsia="微软雅黑" w:cs="微软雅黑"/>
          <w:i w:val="0"/>
          <w:iCs w:val="0"/>
          <w:caps w:val="0"/>
          <w:color w:val="333333"/>
          <w:spacing w:val="0"/>
          <w:sz w:val="21"/>
          <w:szCs w:val="21"/>
          <w:bdr w:val="none" w:color="auto" w:sz="0" w:space="0"/>
          <w:shd w:val="clear" w:fill="FFFFFF"/>
        </w:rPr>
        <w:t>考试细则</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drawing>
          <wp:inline distT="0" distB="0" distL="114300" distR="114300">
            <wp:extent cx="3543300" cy="1238250"/>
            <wp:effectExtent l="0" t="0" r="0" b="0"/>
            <wp:docPr id="3"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IMG_256"/>
                    <pic:cNvPicPr>
                      <a:picLocks noChangeAspect="1"/>
                    </pic:cNvPicPr>
                  </pic:nvPicPr>
                  <pic:blipFill>
                    <a:blip r:embed="rId4"/>
                    <a:stretch>
                      <a:fillRect/>
                    </a:stretch>
                  </pic:blipFill>
                  <pic:spPr>
                    <a:xfrm>
                      <a:off x="0" y="0"/>
                      <a:ext cx="3543300" cy="1238250"/>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（1）场地设置（如图 1）</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以 0 为圆心，分别以 2 米、3 米、4 米为半径，画出 3 个不同半径的同心圆。圆心处插上一根 0.5 米高并系有彩色小旗的标志杆，作为传准目标。以 25 米（男生）、20 米（女生）长为半径，从圆心向任何方向画一个 5 米长的弧为传球限制线。</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（2）考试方法：考生将球放在限制线上，用任何一脚的脚背内侧或脚背正面等部位向圆圈内传球，落点在圆圈内或圈线上均为有效。每人连续踢 6 次，取 5 次优秀成绩计算（6 选 5），5 次成绩之和为该项考试成绩。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2. 评分标准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（1）该项目成绩满分为 40 分，其中达标成绩 30 分，技术评定为 10 分。每次踢中半径为 2 米的圆圈内（含压线）得 6 分，每次踢中 3 米圈内（含压线）得 4 分，每次踢中 4 米圈内（含压线）</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得 2 分，未踢中不计成绩。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（2）技术评定是根据 6 次踢球动作技术要求分 A、B、C、D四等级进行评分，凡达标成绩记 0 分者其技评成绩均为 D 等级，凡达标成绩在 15 分以内者技评成绩均不能评为 A 等级。</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A（10 ～ 8.5 分）：动作流畅，身体姿势协调，击球脚形正确，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触球部位准确，动作稳定有较好命中率。</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B（8.4 ～ 7.0 分）：动作流畅，身体姿势协调，击球脚型正确，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触球部位准确，动作稳定。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C（6.9 ～ 6.0 分）：动作流畅，身体姿势协调，击球脚型正确，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触球部位准确。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D（5.9 ～ 0 分）：动作基本正确，身体姿势不协调。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图 11 定位球传准场地示意图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（三）20 米运球绕杆射门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1. 考试细则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drawing>
          <wp:inline distT="0" distB="0" distL="114300" distR="114300">
            <wp:extent cx="3429000" cy="1438275"/>
            <wp:effectExtent l="0" t="0" r="0" b="9525"/>
            <wp:docPr id="1"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IMG_257"/>
                    <pic:cNvPicPr>
                      <a:picLocks noChangeAspect="1"/>
                    </pic:cNvPicPr>
                  </pic:nvPicPr>
                  <pic:blipFill>
                    <a:blip r:embed="rId5"/>
                    <a:stretch>
                      <a:fillRect/>
                    </a:stretch>
                  </pic:blipFill>
                  <pic:spPr>
                    <a:xfrm>
                      <a:off x="0" y="0"/>
                      <a:ext cx="3429000" cy="1438275"/>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（1）场地设置（如图 2）</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在罚球区线中点处，画一条 20 米长的垂直线，距罚球区线之远端为起点。距罚球区线 2 米处起，沿 20 米垂线插置标杆 8 根，每根杆距离为 2 米，第 8 根杆距离起点 4 米，起点线长度为 4 米，垂直并相交于 20 米线。标杆固定且垂直插入地下，深度不限，以考生碰不倒杆为宜，标杆高不低于 1.5 米。</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（2）考试方法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①考生从起点开始运球，脚触球后，球体触击起点线开表计时。人球连续绕过八根标志杆后，用脚背部位射门。当球的整体从球门两立柱中间及横木下越过球门线外沿的垂直面时停表。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②射门时，球的整体从球门两立柱中间及横木下越过球门线外沿的垂直面进入球门，为射门成功。</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③在射门中，如出现球未进球门，则判为射门失败，记录为考试失败，无成绩；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④运球过程中出现漏杆，记录为考试失败，无成绩。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⑤每人测试一次，若测试犯规无成绩者，可重测一次，成绩按考生重测成绩扣除该项目总分的 10% 计算。继续测试犯规无成绩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图 12 20 米运球绕杆射门场地图者，还可再重测一次，成绩按考生最终成绩扣除该项目总分的 20%计算，每位考生最多只可重测两次，以最后一次成绩为准。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2. 评分标准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（1）该项目成绩满分为 40 分，其中达标成绩 30 分，技术评定为 10 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（2）评分标准见表 36、表 37。</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（3）技术评定按 A、B、C、D 四个等级进行评分，凡达标成绩记 0 分者，其技评成绩均为 D 等级；凡达标成绩男子在 11 秒、女子在 12 秒以上者，技评成绩均不能评为 A 等级。</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A（10 ～ 8.5 分）：控球稳，重心变向灵活，绕杆速度快，运射动作衔接好，射门准确有力。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B（8.4 ～ 7 分）：控球较稳，重心变向较灵活，绕杆速度较快，运射动作衔接较好，射门准确。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C（6.9 ～ 6 分）：控球较稳，重心变向较灵活，绕杆速度较快，运射动作衔接较好，射门较有力。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D（5.9 ～ 0 分）：控球不稳，重心变向不灵活，绕杆慢，运球、射门动作衔接不够好。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（四）守门员加试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1. 考核内容与分值：</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（1）专项素质：立定跳远 20 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（2）专项技术：扑接球技术 20 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2. 考试方法与评分标准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（1）专项素质 : 立定跳远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①考试方法：考生原地双脚站立在起跳线后，起跳时不能触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及或超越起跳线。起跳落地完成跳跃动作后，起身向前走出测试区。成绩测量时，从身体落地痕迹的最近点取直线量至起跳线内沿。考生可穿钉鞋，其他未尽事宜参照田径竞赛规则执行。每人测试 2 次，取最好成绩。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②评分标准：见表 38、表 39。</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（2）专项技术 : 扑接球技术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①考试方法：守门员立于球门线中间，主考人位于守门员正面 6 ～ 8 米处向守门员正面、左右两侧用手抛，或距守门员 16 米左右用脚踢射低球、平球和高球，守门员完成接、扑球技术动作。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②评分标准：按 A、B、C、D 四等级评分，各级评分分值详见表 40。</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drawing>
          <wp:inline distT="0" distB="0" distL="114300" distR="114300">
            <wp:extent cx="4305300" cy="6715125"/>
            <wp:effectExtent l="0" t="0" r="0" b="9525"/>
            <wp:docPr id="4"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IMG_258"/>
                    <pic:cNvPicPr>
                      <a:picLocks noChangeAspect="1"/>
                    </pic:cNvPicPr>
                  </pic:nvPicPr>
                  <pic:blipFill>
                    <a:blip r:embed="rId6"/>
                    <a:stretch>
                      <a:fillRect/>
                    </a:stretch>
                  </pic:blipFill>
                  <pic:spPr>
                    <a:xfrm>
                      <a:off x="0" y="0"/>
                      <a:ext cx="4305300" cy="6715125"/>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表 36 男子足球专项运球绕杆射门成绩评分标准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drawing>
          <wp:inline distT="0" distB="0" distL="114300" distR="114300">
            <wp:extent cx="4191000" cy="6286500"/>
            <wp:effectExtent l="0" t="0" r="0" b="0"/>
            <wp:docPr id="2"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IMG_259"/>
                    <pic:cNvPicPr>
                      <a:picLocks noChangeAspect="1"/>
                    </pic:cNvPicPr>
                  </pic:nvPicPr>
                  <pic:blipFill>
                    <a:blip r:embed="rId7"/>
                    <a:stretch>
                      <a:fillRect/>
                    </a:stretch>
                  </pic:blipFill>
                  <pic:spPr>
                    <a:xfrm>
                      <a:off x="0" y="0"/>
                      <a:ext cx="4191000" cy="6286500"/>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表 37 女子足球专项运球绕杆射门成绩评分标准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drawing>
          <wp:inline distT="0" distB="0" distL="114300" distR="114300">
            <wp:extent cx="4200525" cy="6296025"/>
            <wp:effectExtent l="0" t="0" r="9525" b="9525"/>
            <wp:docPr id="5"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260"/>
                    <pic:cNvPicPr>
                      <a:picLocks noChangeAspect="1"/>
                    </pic:cNvPicPr>
                  </pic:nvPicPr>
                  <pic:blipFill>
                    <a:blip r:embed="rId8"/>
                    <a:stretch>
                      <a:fillRect/>
                    </a:stretch>
                  </pic:blipFill>
                  <pic:spPr>
                    <a:xfrm>
                      <a:off x="0" y="0"/>
                      <a:ext cx="4200525" cy="6296025"/>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表 38 足球守门员测试立定跳远评分表（男子）</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drawing>
          <wp:inline distT="0" distB="0" distL="114300" distR="114300">
            <wp:extent cx="3181350" cy="2552700"/>
            <wp:effectExtent l="0" t="0" r="0" b="0"/>
            <wp:docPr id="6" name="图片 6"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IMG_261"/>
                    <pic:cNvPicPr>
                      <a:picLocks noChangeAspect="1"/>
                    </pic:cNvPicPr>
                  </pic:nvPicPr>
                  <pic:blipFill>
                    <a:blip r:embed="rId9"/>
                    <a:stretch>
                      <a:fillRect/>
                    </a:stretch>
                  </pic:blipFill>
                  <pic:spPr>
                    <a:xfrm>
                      <a:off x="0" y="0"/>
                      <a:ext cx="3181350" cy="2552700"/>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表 39 足球守门员测试立定跳远评分表（女子）</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drawing>
          <wp:inline distT="0" distB="0" distL="114300" distR="114300">
            <wp:extent cx="3133725" cy="2486025"/>
            <wp:effectExtent l="0" t="0" r="9525" b="9525"/>
            <wp:docPr id="7" name="图片 7"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IMG_262"/>
                    <pic:cNvPicPr>
                      <a:picLocks noChangeAspect="1"/>
                    </pic:cNvPicPr>
                  </pic:nvPicPr>
                  <pic:blipFill>
                    <a:blip r:embed="rId10"/>
                    <a:stretch>
                      <a:fillRect/>
                    </a:stretch>
                  </pic:blipFill>
                  <pic:spPr>
                    <a:xfrm>
                      <a:off x="0" y="0"/>
                      <a:ext cx="3133725" cy="2486025"/>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表 40 守门员扑接球技术评分标准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drawing>
          <wp:inline distT="0" distB="0" distL="114300" distR="114300">
            <wp:extent cx="4267200" cy="1714500"/>
            <wp:effectExtent l="0" t="0" r="0" b="0"/>
            <wp:docPr id="8" name="图片 8"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IMG_263"/>
                    <pic:cNvPicPr>
                      <a:picLocks noChangeAspect="1"/>
                    </pic:cNvPicPr>
                  </pic:nvPicPr>
                  <pic:blipFill>
                    <a:blip r:embed="rId11"/>
                    <a:stretch>
                      <a:fillRect/>
                    </a:stretch>
                  </pic:blipFill>
                  <pic:spPr>
                    <a:xfrm>
                      <a:off x="0" y="0"/>
                      <a:ext cx="4267200" cy="1714500"/>
                    </a:xfrm>
                    <a:prstGeom prst="rect">
                      <a:avLst/>
                    </a:prstGeom>
                    <a:noFill/>
                    <a:ln w="9525">
                      <a:noFill/>
                    </a:ln>
                  </pic:spPr>
                </pic:pic>
              </a:graphicData>
            </a:graphic>
          </wp:inline>
        </w:drawing>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B997ED"/>
    <w:multiLevelType w:val="multilevel"/>
    <w:tmpl w:val="00B997ED"/>
    <w:lvl w:ilvl="0" w:tentative="0">
      <w:start w:val="1"/>
      <w:numFmt w:val="none"/>
      <w:lvlText w:val="%1."/>
      <w:lvlJc w:val="left"/>
      <w:pPr>
        <w:tabs>
          <w:tab w:val="left" w:pos="720"/>
        </w:tabs>
        <w:ind w:left="720" w:hanging="360"/>
      </w:pPr>
      <w:rPr>
        <w:sz w:val="24"/>
        <w:szCs w:val="24"/>
      </w:rPr>
    </w:lvl>
    <w:lvl w:ilvl="1" w:tentative="0">
      <w:start w:val="1"/>
      <w:numFmt w:val="none"/>
      <w:lvlText w:val="%2."/>
      <w:lvlJc w:val="left"/>
      <w:pPr>
        <w:tabs>
          <w:tab w:val="left" w:pos="1440"/>
        </w:tabs>
        <w:ind w:left="1440" w:hanging="360"/>
      </w:pPr>
      <w:rPr>
        <w:sz w:val="24"/>
        <w:szCs w:val="24"/>
      </w:rPr>
    </w:lvl>
    <w:lvl w:ilvl="2" w:tentative="0">
      <w:start w:val="1"/>
      <w:numFmt w:val="none"/>
      <w:lvlText w:val="%3."/>
      <w:lvlJc w:val="left"/>
      <w:pPr>
        <w:tabs>
          <w:tab w:val="left" w:pos="2160"/>
        </w:tabs>
        <w:ind w:left="2160" w:hanging="360"/>
      </w:pPr>
      <w:rPr>
        <w:sz w:val="24"/>
        <w:szCs w:val="24"/>
      </w:rPr>
    </w:lvl>
    <w:lvl w:ilvl="3" w:tentative="0">
      <w:start w:val="1"/>
      <w:numFmt w:val="none"/>
      <w:lvlText w:val="%4."/>
      <w:lvlJc w:val="left"/>
      <w:pPr>
        <w:tabs>
          <w:tab w:val="left" w:pos="2517"/>
        </w:tabs>
        <w:ind w:left="2880" w:hanging="360"/>
      </w:pPr>
      <w:rPr>
        <w:sz w:val="24"/>
        <w:szCs w:val="24"/>
      </w:rPr>
    </w:lvl>
    <w:lvl w:ilvl="4" w:tentative="0">
      <w:start w:val="1"/>
      <w:numFmt w:val="none"/>
      <w:lvlText w:val="%5."/>
      <w:lvlJc w:val="left"/>
      <w:pPr>
        <w:tabs>
          <w:tab w:val="left" w:pos="3238"/>
        </w:tabs>
        <w:ind w:left="3600" w:hanging="360"/>
      </w:pPr>
      <w:rPr>
        <w:sz w:val="24"/>
        <w:szCs w:val="24"/>
      </w:rPr>
    </w:lvl>
    <w:lvl w:ilvl="5" w:tentative="0">
      <w:start w:val="1"/>
      <w:numFmt w:val="none"/>
      <w:lvlText w:val="%6."/>
      <w:lvlJc w:val="left"/>
      <w:pPr>
        <w:tabs>
          <w:tab w:val="left" w:pos="3958"/>
        </w:tabs>
        <w:ind w:left="4320" w:hanging="360"/>
      </w:pPr>
      <w:rPr>
        <w:sz w:val="24"/>
        <w:szCs w:val="24"/>
      </w:rPr>
    </w:lvl>
    <w:lvl w:ilvl="6" w:tentative="0">
      <w:start w:val="1"/>
      <w:numFmt w:val="none"/>
      <w:lvlText w:val="%7."/>
      <w:lvlJc w:val="left"/>
      <w:pPr>
        <w:tabs>
          <w:tab w:val="left" w:pos="4678"/>
        </w:tabs>
        <w:ind w:left="5040" w:hanging="360"/>
      </w:pPr>
      <w:rPr>
        <w:sz w:val="24"/>
        <w:szCs w:val="24"/>
      </w:rPr>
    </w:lvl>
    <w:lvl w:ilvl="7" w:tentative="0">
      <w:start w:val="1"/>
      <w:numFmt w:val="none"/>
      <w:lvlText w:val="%8."/>
      <w:lvlJc w:val="left"/>
      <w:pPr>
        <w:tabs>
          <w:tab w:val="left" w:pos="5398"/>
        </w:tabs>
        <w:ind w:left="5760" w:hanging="360"/>
      </w:pPr>
      <w:rPr>
        <w:sz w:val="24"/>
        <w:szCs w:val="24"/>
      </w:rPr>
    </w:lvl>
    <w:lvl w:ilvl="8" w:tentative="0">
      <w:start w:val="1"/>
      <w:numFmt w:val="none"/>
      <w:lvlText w:val="%9."/>
      <w:lvlJc w:val="left"/>
      <w:pPr>
        <w:tabs>
          <w:tab w:val="left" w:pos="6118"/>
        </w:tabs>
        <w:ind w:left="6480" w:hanging="360"/>
      </w:pPr>
      <w:rPr>
        <w:sz w:val="24"/>
        <w:szCs w:val="24"/>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JhMjFkMTg5ZTQwMzY5YzBlYmQyYjUxMWM1MTFmMjAifQ=="/>
  </w:docVars>
  <w:rsids>
    <w:rsidRoot w:val="00000000"/>
    <w:rsid w:val="427D68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2030</Words>
  <Characters>2109</Characters>
  <Lines>0</Lines>
  <Paragraphs>0</Paragraphs>
  <TotalTime>1</TotalTime>
  <ScaleCrop>false</ScaleCrop>
  <LinksUpToDate>false</LinksUpToDate>
  <CharactersWithSpaces>2297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2023-03-30T07:08:07Z</dcterms:created>
  <dc:creator>ywh</dc:creator>
  <cp:lastModifiedBy>徐德全</cp:lastModifiedBy>
  <dcterms:modified xsi:type="dcterms:W3CDTF">2023-03-30T07:10:21Z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D0FF2B47CADD487FBBBC014F8489DEF8</vt:lpwstr>
  </property>
</Properties>
</file>